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8" w:rsidRDefault="00AD5A98" w:rsidP="00AD5A9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D5A98" w:rsidRPr="003D2882" w:rsidRDefault="00FF1127" w:rsidP="00AD5A9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AD5A98" w:rsidRPr="003D2882">
        <w:rPr>
          <w:rFonts w:ascii="Times New Roman" w:hAnsi="Times New Roman"/>
          <w:b/>
        </w:rPr>
        <w:t xml:space="preserve">. Tematyka konkursu. </w:t>
      </w:r>
    </w:p>
    <w:p w:rsidR="00AD5A98" w:rsidRPr="000A6E4A" w:rsidRDefault="00AD5A98" w:rsidP="00AD5A98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</w:p>
    <w:p w:rsidR="00AD5A98" w:rsidRPr="00D560E5" w:rsidRDefault="00AD5A98" w:rsidP="00AD5A98">
      <w:pPr>
        <w:pStyle w:val="normalbiblio"/>
        <w:ind w:left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560E5">
        <w:rPr>
          <w:rFonts w:ascii="Times New Roman" w:hAnsi="Times New Roman" w:cs="Times New Roman"/>
          <w:b/>
          <w:bCs/>
          <w:sz w:val="24"/>
          <w:szCs w:val="24"/>
        </w:rPr>
        <w:t>Czas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wielki zegarmistrz 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świata</w:t>
      </w:r>
    </w:p>
    <w:p w:rsidR="00AD5A98" w:rsidRDefault="00AD5A98" w:rsidP="00AD5A98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AD5A98" w:rsidRPr="00D560E5" w:rsidRDefault="00AD5A98" w:rsidP="00AD5A98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 – Wszystko ma swój czas</w:t>
      </w:r>
    </w:p>
    <w:p w:rsidR="00AD5A98" w:rsidRPr="00D560E5" w:rsidRDefault="00AD5A98" w:rsidP="00AD5A98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II – Czas wiele może</w:t>
      </w:r>
    </w:p>
    <w:p w:rsidR="00AD5A98" w:rsidRPr="00D560E5" w:rsidRDefault="00AD5A98" w:rsidP="00AD5A98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III – Czas daje, czas rzeczy wykrada</w:t>
      </w: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5A98" w:rsidRPr="003D2882" w:rsidRDefault="00FF1127" w:rsidP="00AD5A9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AD5A98" w:rsidRPr="003D2882">
        <w:rPr>
          <w:rFonts w:ascii="Times New Roman" w:hAnsi="Times New Roman"/>
          <w:b/>
        </w:rPr>
        <w:t xml:space="preserve">. Zakres wymaganej wiedzy i umiejętności uczestników. </w:t>
      </w: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</w:rPr>
      </w:pPr>
    </w:p>
    <w:p w:rsidR="00AD5A98" w:rsidRPr="00D560E5" w:rsidRDefault="00AD5A98" w:rsidP="00AD5A98">
      <w:pPr>
        <w:pStyle w:val="Normalny1"/>
        <w:tabs>
          <w:tab w:val="left" w:pos="360"/>
          <w:tab w:val="left" w:pos="540"/>
        </w:tabs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Do ka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dego etapu konkursu obowi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>zuj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560E5">
        <w:rPr>
          <w:rFonts w:ascii="Times New Roman" w:hAnsi="Times New Roman" w:cs="Times New Roman"/>
          <w:sz w:val="24"/>
          <w:szCs w:val="24"/>
        </w:rPr>
        <w:t>wiadomo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ci i umiej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tno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ci wynikaj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 </w:t>
      </w:r>
      <w:r w:rsidRPr="00D560E5">
        <w:rPr>
          <w:rFonts w:ascii="Times New Roman" w:hAnsi="Times New Roman" w:cs="Times New Roman"/>
          <w:sz w:val="24"/>
          <w:szCs w:val="24"/>
        </w:rPr>
        <w:t>podstawy programowej kształcenia ogólnego dla szkół podstawowych (II etap edukacyjny w zakresie 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zyka polskiego i historii) – rozporz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 xml:space="preserve">dzenie Ministra Edukacji Narodowej z dnia 27 sierpnia 2012 r. (Dz. U. z 30 sierpnia 2012 r., poz. 977, z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pó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D560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. zm.).</w:t>
      </w:r>
    </w:p>
    <w:p w:rsidR="00AD5A98" w:rsidRPr="00D560E5" w:rsidRDefault="00AD5A98" w:rsidP="00AD5A98">
      <w:pPr>
        <w:pStyle w:val="normalbiblio"/>
        <w:tabs>
          <w:tab w:val="left" w:pos="360"/>
          <w:tab w:val="left" w:pos="540"/>
        </w:tabs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1. Znajomo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tekstów kultury wskazanych w literaturze konkursu.</w:t>
      </w:r>
    </w:p>
    <w:p w:rsidR="00AD5A98" w:rsidRPr="00D560E5" w:rsidRDefault="00AD5A98" w:rsidP="00AD5A98">
      <w:pPr>
        <w:pStyle w:val="normalbiblio"/>
        <w:tabs>
          <w:tab w:val="left" w:pos="360"/>
          <w:tab w:val="left" w:pos="540"/>
        </w:tabs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2. Stosowanie ró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nych form wypowiedzi pisemnych, w tym u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ytkowych.</w:t>
      </w:r>
    </w:p>
    <w:p w:rsidR="00AD5A98" w:rsidRPr="00D560E5" w:rsidRDefault="00AD5A98" w:rsidP="00AD5A98">
      <w:pPr>
        <w:pStyle w:val="normalbiblio"/>
        <w:tabs>
          <w:tab w:val="left" w:pos="360"/>
          <w:tab w:val="left" w:pos="540"/>
        </w:tabs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3. Znajomo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i przestrzeganie zasad poprawno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ci 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zykowej.</w:t>
      </w:r>
    </w:p>
    <w:p w:rsidR="00AD5A98" w:rsidRPr="00D560E5" w:rsidRDefault="00AD5A98" w:rsidP="00AD5A98">
      <w:pPr>
        <w:pStyle w:val="normalbiblio"/>
        <w:tabs>
          <w:tab w:val="left" w:pos="360"/>
          <w:tab w:val="left" w:pos="540"/>
        </w:tabs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4. Umiej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tno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korzystania z ró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 xml:space="preserve">nych 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D560E5">
        <w:rPr>
          <w:rFonts w:ascii="Times New Roman" w:hAnsi="Times New Roman" w:cs="Times New Roman"/>
          <w:sz w:val="24"/>
          <w:szCs w:val="24"/>
        </w:rPr>
        <w:t>ródeł informacji.</w:t>
      </w:r>
    </w:p>
    <w:p w:rsidR="00AD5A98" w:rsidRPr="00D560E5" w:rsidRDefault="00AD5A98" w:rsidP="00AD5A98">
      <w:pPr>
        <w:pStyle w:val="normalbiblio"/>
        <w:tabs>
          <w:tab w:val="left" w:pos="360"/>
          <w:tab w:val="left" w:pos="540"/>
        </w:tabs>
        <w:ind w:left="708" w:firstLine="1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5. Czytanie ze zrozumieniem ró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 xml:space="preserve">nych tekstów kultury, przekazów ikonicznych oraz tekstów  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D560E5">
        <w:rPr>
          <w:rFonts w:ascii="Times New Roman" w:hAnsi="Times New Roman" w:cs="Times New Roman"/>
          <w:sz w:val="24"/>
          <w:szCs w:val="24"/>
        </w:rPr>
        <w:t>ródłowych.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6. Znajomo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gatunków literackich i poj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D560E5">
        <w:rPr>
          <w:rFonts w:ascii="Times New Roman" w:hAnsi="Times New Roman" w:cs="Times New Roman"/>
          <w:sz w:val="24"/>
          <w:szCs w:val="24"/>
        </w:rPr>
        <w:t>teoretycznych oraz zagadnie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560E5">
        <w:rPr>
          <w:rFonts w:ascii="Times New Roman" w:hAnsi="Times New Roman" w:cs="Times New Roman"/>
          <w:sz w:val="24"/>
          <w:szCs w:val="24"/>
        </w:rPr>
        <w:t>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zykowych niewykraczaj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>cych poza podstaw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560E5">
        <w:rPr>
          <w:rFonts w:ascii="Times New Roman" w:hAnsi="Times New Roman" w:cs="Times New Roman"/>
          <w:sz w:val="24"/>
          <w:szCs w:val="24"/>
        </w:rPr>
        <w:t>programow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560E5">
        <w:rPr>
          <w:rFonts w:ascii="Times New Roman" w:hAnsi="Times New Roman" w:cs="Times New Roman"/>
          <w:sz w:val="24"/>
          <w:szCs w:val="24"/>
        </w:rPr>
        <w:t>kształcenia ogólnego w szkole podstawowej.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7. Okre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lenie funkcji elementów tekstu przy u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yciu odpowiedniej terminologii i wykorzystanie ró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nych kontekstów.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8. Znajomo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poj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D560E5">
        <w:rPr>
          <w:rFonts w:ascii="Times New Roman" w:hAnsi="Times New Roman" w:cs="Times New Roman"/>
          <w:sz w:val="24"/>
          <w:szCs w:val="24"/>
        </w:rPr>
        <w:t xml:space="preserve">, postaci, dat, faktów historycznych i realiów 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ycia społecznego zwi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>zanych z literatur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560E5">
        <w:rPr>
          <w:rFonts w:ascii="Times New Roman" w:hAnsi="Times New Roman" w:cs="Times New Roman"/>
          <w:sz w:val="24"/>
          <w:szCs w:val="24"/>
        </w:rPr>
        <w:t>konkursu.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9. Umiej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tno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wyszukiwania gł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 xml:space="preserve">bszego sensu utworów literackich i rozumienie podstawowych 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rodków artystycznego wyrazu.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10. Znajomo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wyra</w:t>
      </w:r>
      <w:r w:rsidRPr="00D560E5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560E5">
        <w:rPr>
          <w:rFonts w:ascii="Times New Roman" w:eastAsia="TimesNewRoman" w:hAnsi="Times New Roman" w:cs="Times New Roman"/>
          <w:b/>
          <w:bCs/>
          <w:sz w:val="24"/>
          <w:szCs w:val="24"/>
        </w:rPr>
        <w:t>ń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, zwrotów frazeologicznych</w:t>
      </w:r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porzekadeł i przysłów</w:t>
      </w:r>
      <w:r w:rsidRPr="00D560E5">
        <w:rPr>
          <w:rFonts w:ascii="Times New Roman" w:hAnsi="Times New Roman" w:cs="Times New Roman"/>
          <w:sz w:val="24"/>
          <w:szCs w:val="24"/>
        </w:rPr>
        <w:t xml:space="preserve"> zwi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>zanych z tematyk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560E5">
        <w:rPr>
          <w:rFonts w:ascii="Times New Roman" w:hAnsi="Times New Roman" w:cs="Times New Roman"/>
          <w:sz w:val="24"/>
          <w:szCs w:val="24"/>
        </w:rPr>
        <w:t>konkursu.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11. Umiej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tno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analizy tekstów, formułowania opinii, argumentowania.</w:t>
      </w:r>
    </w:p>
    <w:p w:rsidR="00AD5A98" w:rsidRPr="00D560E5" w:rsidRDefault="00AD5A98" w:rsidP="00AD5A98">
      <w:pPr>
        <w:pStyle w:val="normalbiblio"/>
        <w:ind w:left="900" w:hanging="227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12. Własna aktywno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560E5">
        <w:rPr>
          <w:rFonts w:ascii="Times New Roman" w:hAnsi="Times New Roman" w:cs="Times New Roman"/>
          <w:sz w:val="24"/>
          <w:szCs w:val="24"/>
        </w:rPr>
        <w:t>twórcza.</w:t>
      </w:r>
    </w:p>
    <w:p w:rsidR="00AD5A98" w:rsidRDefault="00AD5A98" w:rsidP="00AD5A98">
      <w:pPr>
        <w:pStyle w:val="normalbiblio"/>
        <w:ind w:left="900" w:hanging="227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13. Znajomość podstawowych pojęć związanych z tworzywem filmowym.</w:t>
      </w:r>
      <w:r w:rsidR="00FF1127">
        <w:rPr>
          <w:rFonts w:ascii="Times New Roman" w:hAnsi="Times New Roman" w:cs="Times New Roman"/>
          <w:sz w:val="24"/>
          <w:szCs w:val="24"/>
        </w:rPr>
        <w:br/>
      </w:r>
    </w:p>
    <w:p w:rsidR="00FF1127" w:rsidRDefault="00FF1127" w:rsidP="00AD5A98">
      <w:pPr>
        <w:pStyle w:val="normalbiblio"/>
        <w:ind w:left="900" w:hanging="227"/>
        <w:rPr>
          <w:rFonts w:ascii="Times New Roman" w:hAnsi="Times New Roman" w:cs="Times New Roman"/>
          <w:sz w:val="24"/>
          <w:szCs w:val="24"/>
        </w:rPr>
      </w:pPr>
    </w:p>
    <w:p w:rsidR="00FF1127" w:rsidRPr="00D560E5" w:rsidRDefault="00FF1127" w:rsidP="00AD5A98">
      <w:pPr>
        <w:pStyle w:val="normalbiblio"/>
        <w:ind w:left="900" w:hanging="227"/>
        <w:rPr>
          <w:rFonts w:ascii="Times New Roman" w:hAnsi="Times New Roman" w:cs="Times New Roman"/>
          <w:sz w:val="24"/>
          <w:szCs w:val="24"/>
        </w:rPr>
      </w:pP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</w:rPr>
      </w:pPr>
    </w:p>
    <w:p w:rsidR="00AD5A98" w:rsidRDefault="00FF1127" w:rsidP="00AD5A9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AD5A98" w:rsidRPr="003D2882">
        <w:rPr>
          <w:rFonts w:ascii="Times New Roman" w:hAnsi="Times New Roman"/>
          <w:b/>
        </w:rPr>
        <w:t xml:space="preserve">. Wykaz zalecanej literatury: </w:t>
      </w:r>
    </w:p>
    <w:p w:rsidR="00AD5A98" w:rsidRDefault="00AD5A98" w:rsidP="00AD5A9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AD5A98" w:rsidRPr="00D560E5" w:rsidRDefault="00AD5A98" w:rsidP="00AD5A9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W zwi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60E5">
        <w:rPr>
          <w:rFonts w:ascii="Times New Roman" w:hAnsi="Times New Roman" w:cs="Times New Roman"/>
          <w:sz w:val="24"/>
          <w:szCs w:val="24"/>
        </w:rPr>
        <w:t>zku z dost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60E5">
        <w:rPr>
          <w:rFonts w:ascii="Times New Roman" w:hAnsi="Times New Roman" w:cs="Times New Roman"/>
          <w:sz w:val="24"/>
          <w:szCs w:val="24"/>
        </w:rPr>
        <w:t>pno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60E5">
        <w:rPr>
          <w:rFonts w:ascii="Times New Roman" w:hAnsi="Times New Roman" w:cs="Times New Roman"/>
          <w:sz w:val="24"/>
          <w:szCs w:val="24"/>
        </w:rPr>
        <w:t>ci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560E5">
        <w:rPr>
          <w:rFonts w:ascii="Times New Roman" w:hAnsi="Times New Roman" w:cs="Times New Roman"/>
          <w:sz w:val="24"/>
          <w:szCs w:val="24"/>
        </w:rPr>
        <w:t>na rynku wydawniczym wielu wyda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560E5">
        <w:rPr>
          <w:rFonts w:ascii="Times New Roman" w:hAnsi="Times New Roman" w:cs="Times New Roman"/>
          <w:sz w:val="24"/>
          <w:szCs w:val="24"/>
        </w:rPr>
        <w:t>poni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560E5">
        <w:rPr>
          <w:rFonts w:ascii="Times New Roman" w:hAnsi="Times New Roman" w:cs="Times New Roman"/>
          <w:sz w:val="24"/>
          <w:szCs w:val="24"/>
        </w:rPr>
        <w:t>szych tytułów, dopuszcza si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560E5">
        <w:rPr>
          <w:rFonts w:ascii="Times New Roman" w:hAnsi="Times New Roman" w:cs="Times New Roman"/>
          <w:sz w:val="24"/>
          <w:szCs w:val="24"/>
        </w:rPr>
        <w:t>równie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D560E5">
        <w:rPr>
          <w:rFonts w:ascii="Times New Roman" w:hAnsi="Times New Roman" w:cs="Times New Roman"/>
          <w:sz w:val="24"/>
          <w:szCs w:val="24"/>
        </w:rPr>
        <w:t>inne ni</w:t>
      </w:r>
      <w:r w:rsidRPr="00D560E5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D560E5">
        <w:rPr>
          <w:rFonts w:ascii="Times New Roman" w:hAnsi="Times New Roman" w:cs="Times New Roman"/>
          <w:sz w:val="24"/>
          <w:szCs w:val="24"/>
        </w:rPr>
        <w:t>wskazane wydania lektur.</w:t>
      </w:r>
    </w:p>
    <w:p w:rsidR="00AD5A98" w:rsidRPr="00D560E5" w:rsidRDefault="00AD5A98" w:rsidP="00AD5A98">
      <w:pPr>
        <w:pStyle w:val="tyt3"/>
        <w:rPr>
          <w:sz w:val="24"/>
          <w:szCs w:val="24"/>
        </w:rPr>
      </w:pPr>
      <w:r w:rsidRPr="00D560E5">
        <w:rPr>
          <w:sz w:val="24"/>
          <w:szCs w:val="24"/>
        </w:rPr>
        <w:t>Etap I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>Encyklopedia naukowa dla dzieci i młodzieży</w:t>
      </w:r>
      <w:r w:rsidRPr="00D560E5">
        <w:rPr>
          <w:rFonts w:ascii="Times New Roman" w:hAnsi="Times New Roman" w:cs="Times New Roman"/>
          <w:sz w:val="24"/>
          <w:szCs w:val="24"/>
        </w:rPr>
        <w:t xml:space="preserve">, Muza S.A., Warszawa 2001, hasła: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Czas </w:t>
      </w:r>
      <w:r w:rsidRPr="00D560E5">
        <w:rPr>
          <w:rFonts w:ascii="Times New Roman" w:hAnsi="Times New Roman" w:cs="Times New Roman"/>
          <w:sz w:val="24"/>
          <w:szCs w:val="24"/>
        </w:rPr>
        <w:t xml:space="preserve">– tom 1, s. 94;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Kalendarz</w:t>
      </w:r>
      <w:r w:rsidRPr="00D560E5">
        <w:rPr>
          <w:rFonts w:ascii="Times New Roman" w:hAnsi="Times New Roman" w:cs="Times New Roman"/>
          <w:sz w:val="24"/>
          <w:szCs w:val="24"/>
        </w:rPr>
        <w:t xml:space="preserve"> – tom 2, s. 250;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Zegar</w:t>
      </w:r>
      <w:r w:rsidRPr="00D560E5">
        <w:rPr>
          <w:rFonts w:ascii="Times New Roman" w:hAnsi="Times New Roman" w:cs="Times New Roman"/>
          <w:sz w:val="24"/>
          <w:szCs w:val="24"/>
        </w:rPr>
        <w:t xml:space="preserve"> – tom 5, s. 789.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Momo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sz w:val="24"/>
          <w:szCs w:val="24"/>
        </w:rPr>
        <w:t>Znak, Kraków 2014.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Style w:val="normalKursywa"/>
          <w:i w:val="0"/>
          <w:iCs w:val="0"/>
          <w:sz w:val="24"/>
          <w:szCs w:val="24"/>
        </w:rPr>
      </w:pPr>
      <w:r w:rsidRPr="00D560E5">
        <w:rPr>
          <w:rStyle w:val="normalKursywa"/>
          <w:sz w:val="24"/>
          <w:szCs w:val="24"/>
        </w:rPr>
        <w:t>Jak liczymy upływający czas? [online] historia.opracowania.pl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Księga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Koheleta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 3, 1-8, [w:]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Pismo Święte Starego i Nowego Testamentu</w:t>
      </w:r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Pallottinum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 Poznań-Warszawa 1990, s. 737.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Ewa Nowacka, </w:t>
      </w:r>
      <w:r w:rsidRPr="00D560E5">
        <w:rPr>
          <w:rStyle w:val="normalKursywa"/>
          <w:sz w:val="24"/>
          <w:szCs w:val="24"/>
        </w:rPr>
        <w:t>Małgosia contra Małgosia</w:t>
      </w:r>
      <w:r w:rsidRPr="00D560E5">
        <w:rPr>
          <w:rFonts w:ascii="Times New Roman" w:hAnsi="Times New Roman" w:cs="Times New Roman"/>
          <w:sz w:val="24"/>
          <w:szCs w:val="24"/>
        </w:rPr>
        <w:t>, Nasza Księgarnia, Warszawa 2006.</w:t>
      </w:r>
    </w:p>
    <w:p w:rsidR="00AD5A98" w:rsidRPr="00D560E5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Bolesław Prus,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Z legend dawnego Egiptu</w:t>
      </w:r>
      <w:r w:rsidRPr="00D560E5">
        <w:rPr>
          <w:rFonts w:ascii="Times New Roman" w:hAnsi="Times New Roman" w:cs="Times New Roman"/>
          <w:sz w:val="24"/>
          <w:szCs w:val="24"/>
        </w:rPr>
        <w:t>, [w:] tegoż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, Nowele, </w:t>
      </w:r>
      <w:r w:rsidRPr="00D560E5">
        <w:rPr>
          <w:rFonts w:ascii="Times New Roman" w:hAnsi="Times New Roman" w:cs="Times New Roman"/>
          <w:sz w:val="24"/>
          <w:szCs w:val="24"/>
        </w:rPr>
        <w:t xml:space="preserve">IBIS, Poznań 2015, s. 171-176. </w:t>
      </w:r>
    </w:p>
    <w:p w:rsidR="00AD5A98" w:rsidRPr="00F56538" w:rsidRDefault="00AD5A98" w:rsidP="00AD5A98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Asterix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Obelix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>: Misja Kleopatra</w:t>
      </w:r>
      <w:r w:rsidRPr="00D560E5">
        <w:rPr>
          <w:rFonts w:ascii="Times New Roman" w:hAnsi="Times New Roman" w:cs="Times New Roman"/>
          <w:sz w:val="24"/>
          <w:szCs w:val="24"/>
        </w:rPr>
        <w:t xml:space="preserve"> [film DVD], reż. Alain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Chabat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 2002.</w:t>
      </w:r>
    </w:p>
    <w:p w:rsidR="00AD5A98" w:rsidRPr="00D560E5" w:rsidRDefault="00AD5A98" w:rsidP="00AD5A98">
      <w:pPr>
        <w:pStyle w:val="tyt3"/>
        <w:rPr>
          <w:i/>
          <w:iCs/>
          <w:sz w:val="24"/>
          <w:szCs w:val="24"/>
        </w:rPr>
      </w:pPr>
      <w:bookmarkStart w:id="0" w:name="_GoBack"/>
      <w:bookmarkEnd w:id="0"/>
      <w:r w:rsidRPr="00D560E5">
        <w:rPr>
          <w:sz w:val="24"/>
          <w:szCs w:val="24"/>
        </w:rPr>
        <w:t xml:space="preserve">Etap II 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Ewa Karwan-Jastrzębska,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Agata z Placu Słonecznego</w:t>
      </w:r>
      <w:r w:rsidRPr="00D560E5">
        <w:rPr>
          <w:rFonts w:ascii="Times New Roman" w:hAnsi="Times New Roman" w:cs="Times New Roman"/>
          <w:sz w:val="24"/>
          <w:szCs w:val="24"/>
        </w:rPr>
        <w:t xml:space="preserve">, t. 1 –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Przybycie Agaty</w:t>
      </w:r>
      <w:r w:rsidRPr="00D560E5">
        <w:rPr>
          <w:rFonts w:ascii="Times New Roman" w:hAnsi="Times New Roman" w:cs="Times New Roman"/>
          <w:sz w:val="24"/>
          <w:szCs w:val="24"/>
        </w:rPr>
        <w:t>, Marginesy, Warszawa 2012.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Krüger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Dar rzeki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Fly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Siedmioróg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0E5">
        <w:rPr>
          <w:rFonts w:ascii="Times New Roman" w:hAnsi="Times New Roman" w:cs="Times New Roman"/>
          <w:sz w:val="24"/>
          <w:szCs w:val="24"/>
        </w:rPr>
        <w:t>Wrocław 2012, s. 5-14.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Modiano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Katarzynka</w:t>
      </w:r>
      <w:r w:rsidRPr="00D560E5">
        <w:rPr>
          <w:rFonts w:ascii="Times New Roman" w:hAnsi="Times New Roman" w:cs="Times New Roman"/>
          <w:sz w:val="24"/>
          <w:szCs w:val="24"/>
        </w:rPr>
        <w:t>, Czuły Barbarzyńca, Warszawa 2008.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Style w:val="normalZnak"/>
          <w:rFonts w:ascii="Times New Roman" w:hAnsi="Times New Roman" w:cs="Times New Roman"/>
          <w:sz w:val="24"/>
          <w:szCs w:val="24"/>
        </w:rPr>
        <w:t xml:space="preserve">Edith </w:t>
      </w:r>
      <w:proofErr w:type="spellStart"/>
      <w:r w:rsidRPr="00D560E5">
        <w:rPr>
          <w:rStyle w:val="normalZnak"/>
          <w:rFonts w:ascii="Times New Roman" w:hAnsi="Times New Roman" w:cs="Times New Roman"/>
          <w:sz w:val="24"/>
          <w:szCs w:val="24"/>
        </w:rPr>
        <w:t>Nesbit</w:t>
      </w:r>
      <w:proofErr w:type="spellEnd"/>
      <w:r w:rsidRPr="00D560E5">
        <w:rPr>
          <w:rStyle w:val="normalZnak"/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Style w:val="normalKursywa"/>
          <w:sz w:val="24"/>
          <w:szCs w:val="24"/>
        </w:rPr>
        <w:t>Historia amuletu</w:t>
      </w:r>
      <w:r w:rsidRPr="00D560E5">
        <w:rPr>
          <w:rStyle w:val="normalZnak"/>
          <w:rFonts w:ascii="Times New Roman" w:hAnsi="Times New Roman" w:cs="Times New Roman"/>
          <w:sz w:val="24"/>
          <w:szCs w:val="24"/>
        </w:rPr>
        <w:t xml:space="preserve">, Zielona Sowa, Kraków 2004. 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>Powrót do przyszłości</w:t>
      </w:r>
      <w:r w:rsidRPr="00D560E5">
        <w:rPr>
          <w:rFonts w:ascii="Times New Roman" w:hAnsi="Times New Roman" w:cs="Times New Roman"/>
          <w:sz w:val="24"/>
          <w:szCs w:val="24"/>
        </w:rPr>
        <w:t xml:space="preserve"> [film DVD], reż. Robert Zemeckis, 1985.</w:t>
      </w:r>
    </w:p>
    <w:p w:rsidR="00AD5A98" w:rsidRPr="00D560E5" w:rsidRDefault="00AD5A98" w:rsidP="00AD5A98">
      <w:pPr>
        <w:pStyle w:val="normalbiblio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Wielka historia małego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esemesa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] http://xmobile.pl/2012/01/wielka-historia-maaego-smsaea/</w:t>
      </w:r>
    </w:p>
    <w:p w:rsidR="00AD5A98" w:rsidRDefault="00AD5A98" w:rsidP="00AD5A98">
      <w:pPr>
        <w:pStyle w:val="normalbiblio"/>
        <w:ind w:left="227" w:hanging="22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>Uczestników obowiązuje również znajomość tekstów wymaganych w etapie I.</w:t>
      </w:r>
    </w:p>
    <w:p w:rsidR="00AD5A98" w:rsidRPr="00D560E5" w:rsidRDefault="00AD5A98" w:rsidP="00AD5A98">
      <w:pPr>
        <w:pStyle w:val="tyt3"/>
        <w:rPr>
          <w:sz w:val="24"/>
          <w:szCs w:val="24"/>
        </w:rPr>
      </w:pPr>
      <w:r w:rsidRPr="00D560E5">
        <w:rPr>
          <w:sz w:val="24"/>
          <w:szCs w:val="24"/>
        </w:rPr>
        <w:t>Etap III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Adam Asnyk,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Do młodych</w:t>
      </w:r>
      <w:r w:rsidRPr="00D560E5">
        <w:rPr>
          <w:rFonts w:ascii="Times New Roman" w:hAnsi="Times New Roman" w:cs="Times New Roman"/>
          <w:sz w:val="24"/>
          <w:szCs w:val="24"/>
        </w:rPr>
        <w:t xml:space="preserve">, [w:]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Antologia poezji polskiej</w:t>
      </w:r>
      <w:r w:rsidRPr="00D560E5">
        <w:rPr>
          <w:rFonts w:ascii="Times New Roman" w:hAnsi="Times New Roman" w:cs="Times New Roman"/>
          <w:sz w:val="24"/>
          <w:szCs w:val="24"/>
        </w:rPr>
        <w:t>, IBIS, Poznań 2010, s. 607.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lastRenderedPageBreak/>
        <w:t>Chłopak na dworze króla Artura</w:t>
      </w:r>
      <w:r w:rsidRPr="00D560E5">
        <w:rPr>
          <w:rFonts w:ascii="Times New Roman" w:hAnsi="Times New Roman" w:cs="Times New Roman"/>
          <w:sz w:val="24"/>
          <w:szCs w:val="24"/>
        </w:rPr>
        <w:t xml:space="preserve"> [film DVD]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0E5">
        <w:rPr>
          <w:rFonts w:ascii="Times New Roman" w:hAnsi="Times New Roman" w:cs="Times New Roman"/>
          <w:sz w:val="24"/>
          <w:szCs w:val="24"/>
        </w:rPr>
        <w:t xml:space="preserve"> reż. Michael Gottlieb, 1995.</w:t>
      </w:r>
    </w:p>
    <w:p w:rsidR="00AD5A98" w:rsidRPr="006879CA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560E5">
        <w:rPr>
          <w:rFonts w:ascii="Times New Roman" w:hAnsi="Times New Roman" w:cs="Times New Roman"/>
          <w:sz w:val="24"/>
          <w:szCs w:val="24"/>
        </w:rPr>
        <w:t>Jostein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Wszystko płynie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sz w:val="24"/>
          <w:szCs w:val="24"/>
        </w:rPr>
        <w:t>[w:]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1847">
        <w:rPr>
          <w:rFonts w:ascii="Times New Roman" w:hAnsi="Times New Roman" w:cs="Times New Roman"/>
          <w:sz w:val="24"/>
          <w:szCs w:val="24"/>
        </w:rPr>
        <w:t>tegoż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Świat Zofii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79CA">
        <w:rPr>
          <w:rFonts w:ascii="Times New Roman" w:hAnsi="Times New Roman" w:cs="Times New Roman"/>
          <w:sz w:val="24"/>
          <w:szCs w:val="24"/>
        </w:rPr>
        <w:t>Czarna Owca, Warszawa 2013, s. 48</w:t>
      </w:r>
      <w:r>
        <w:rPr>
          <w:rFonts w:ascii="Times New Roman" w:hAnsi="Times New Roman" w:cs="Times New Roman"/>
          <w:sz w:val="24"/>
          <w:szCs w:val="24"/>
        </w:rPr>
        <w:t xml:space="preserve"> – 49. 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Małgorzata Musierowicz,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Noelka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Bestseller, Poznań 1993. 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Czesław Niemen,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Czas jak rzeka</w:t>
      </w:r>
      <w:r>
        <w:rPr>
          <w:rFonts w:ascii="Times New Roman" w:hAnsi="Times New Roman" w:cs="Times New Roman"/>
          <w:sz w:val="24"/>
          <w:szCs w:val="24"/>
        </w:rPr>
        <w:t xml:space="preserve"> [online]</w:t>
      </w:r>
      <w:r w:rsidRPr="00D560E5">
        <w:rPr>
          <w:rFonts w:ascii="Times New Roman" w:hAnsi="Times New Roman" w:cs="Times New Roman"/>
          <w:sz w:val="24"/>
          <w:szCs w:val="24"/>
        </w:rPr>
        <w:t xml:space="preserve"> www.tekstowo.pl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Henryk Sienkiewicz,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Bajka</w:t>
      </w:r>
      <w:r w:rsidRPr="00D560E5">
        <w:rPr>
          <w:rFonts w:ascii="Times New Roman" w:hAnsi="Times New Roman" w:cs="Times New Roman"/>
          <w:sz w:val="24"/>
          <w:szCs w:val="24"/>
        </w:rPr>
        <w:t xml:space="preserve">, [w:]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Baśnie polskie</w:t>
      </w:r>
      <w:r w:rsidRPr="00D560E5">
        <w:rPr>
          <w:rFonts w:ascii="Times New Roman" w:hAnsi="Times New Roman" w:cs="Times New Roman"/>
          <w:sz w:val="24"/>
          <w:szCs w:val="24"/>
        </w:rPr>
        <w:t>, Ludowa Spółdzielnia Wydawnicza, Warszawa 1985, s. 243.</w:t>
      </w:r>
    </w:p>
    <w:p w:rsidR="00AD5A98" w:rsidRPr="00D560E5" w:rsidRDefault="00AD5A98" w:rsidP="00AD5A98">
      <w:pPr>
        <w:pStyle w:val="normalbiblio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Lustro pana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Grymsa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0E5">
        <w:rPr>
          <w:rFonts w:ascii="Times New Roman" w:hAnsi="Times New Roman" w:cs="Times New Roman"/>
          <w:sz w:val="24"/>
          <w:szCs w:val="24"/>
        </w:rPr>
        <w:t>Wydawnictwo Literackie, Kraków 2001.</w:t>
      </w:r>
    </w:p>
    <w:p w:rsidR="00AD5A98" w:rsidRPr="00D560E5" w:rsidRDefault="00AD5A98" w:rsidP="00AD5A98">
      <w:pPr>
        <w:pStyle w:val="normalbiblio"/>
        <w:ind w:left="227" w:hanging="227"/>
        <w:jc w:val="left"/>
        <w:rPr>
          <w:rFonts w:ascii="Times New Roman" w:hAnsi="Times New Roman" w:cs="Times New Roman"/>
          <w:sz w:val="24"/>
          <w:szCs w:val="24"/>
        </w:rPr>
      </w:pPr>
    </w:p>
    <w:p w:rsidR="00AD5A98" w:rsidRPr="00D560E5" w:rsidRDefault="00AD5A98" w:rsidP="00AD5A98">
      <w:pPr>
        <w:pStyle w:val="normalbiblio"/>
        <w:ind w:left="227" w:hanging="227"/>
        <w:jc w:val="left"/>
        <w:rPr>
          <w:rStyle w:val="normalKursywa"/>
          <w:i w:val="0"/>
          <w:iCs w:val="0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Uczestników obowiązuje również znajomość tekstów wymaganych w etapie I oraz II.</w:t>
      </w: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5A98" w:rsidRDefault="00AD5A98" w:rsidP="00AD5A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5A98" w:rsidRDefault="00AD5A98" w:rsidP="00AD5A98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076440" w:rsidRPr="00712ABF" w:rsidRDefault="00076440">
      <w:pPr>
        <w:rPr>
          <w:rFonts w:ascii="Times New Roman" w:hAnsi="Times New Roman"/>
        </w:rPr>
      </w:pPr>
    </w:p>
    <w:sectPr w:rsidR="00076440" w:rsidRPr="00712ABF" w:rsidSect="001D0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25" w:rsidRDefault="00F04E25" w:rsidP="00FF1127">
      <w:pPr>
        <w:spacing w:after="0" w:line="240" w:lineRule="auto"/>
      </w:pPr>
      <w:r>
        <w:separator/>
      </w:r>
    </w:p>
  </w:endnote>
  <w:endnote w:type="continuationSeparator" w:id="0">
    <w:p w:rsidR="00F04E25" w:rsidRDefault="00F04E25" w:rsidP="00FF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7" w:rsidRDefault="00FF11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45603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FF1127" w:rsidRDefault="00FF112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12ABF" w:rsidRPr="00712ABF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FF1127" w:rsidRPr="00377DF6" w:rsidRDefault="00377DF6">
    <w:pPr>
      <w:pStyle w:val="Stopka"/>
      <w:rPr>
        <w:rFonts w:asciiTheme="minorHAnsi" w:hAnsiTheme="minorHAnsi" w:cs="Tahoma"/>
        <w:sz w:val="24"/>
        <w:szCs w:val="24"/>
      </w:rPr>
    </w:pPr>
    <w:r w:rsidRPr="00377DF6">
      <w:rPr>
        <w:rFonts w:asciiTheme="minorHAnsi" w:hAnsiTheme="minorHAnsi" w:cs="Tahoma"/>
        <w:sz w:val="24"/>
        <w:szCs w:val="24"/>
      </w:rPr>
      <w:t>Kuratorium Oświaty w Krakowie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7" w:rsidRDefault="00FF1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25" w:rsidRDefault="00F04E25" w:rsidP="00FF1127">
      <w:pPr>
        <w:spacing w:after="0" w:line="240" w:lineRule="auto"/>
      </w:pPr>
      <w:r>
        <w:separator/>
      </w:r>
    </w:p>
  </w:footnote>
  <w:footnote w:type="continuationSeparator" w:id="0">
    <w:p w:rsidR="00F04E25" w:rsidRDefault="00F04E25" w:rsidP="00FF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7" w:rsidRDefault="00FF11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7" w:rsidRPr="00377DF6" w:rsidRDefault="00FF1127" w:rsidP="00FF1127">
    <w:pPr>
      <w:pStyle w:val="Nagwek"/>
      <w:jc w:val="center"/>
      <w:rPr>
        <w:rFonts w:asciiTheme="minorHAnsi" w:hAnsiTheme="minorHAnsi" w:cs="Tahoma"/>
        <w:sz w:val="24"/>
        <w:szCs w:val="24"/>
      </w:rPr>
    </w:pPr>
    <w:r w:rsidRPr="00377DF6">
      <w:rPr>
        <w:rFonts w:asciiTheme="minorHAnsi" w:hAnsiTheme="minorHAnsi" w:cs="Tahoma"/>
        <w:sz w:val="24"/>
        <w:szCs w:val="24"/>
      </w:rPr>
      <w:t xml:space="preserve">Małopolski Konkurs Humanistyczny dla uczniów szkół podstawowych </w:t>
    </w:r>
    <w:r w:rsidRPr="00377DF6">
      <w:rPr>
        <w:rFonts w:asciiTheme="minorHAnsi" w:hAnsiTheme="minorHAnsi" w:cs="Tahoma"/>
        <w:sz w:val="24"/>
        <w:szCs w:val="24"/>
      </w:rPr>
      <w:br/>
      <w:t>– rok szkolny 2015/2016</w:t>
    </w:r>
  </w:p>
  <w:p w:rsidR="00FF1127" w:rsidRPr="00FF1127" w:rsidRDefault="00482611" w:rsidP="00FF1127">
    <w:pPr>
      <w:pStyle w:val="Nagwek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.15pt;margin-top:10.3pt;width:465.7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7" w:rsidRDefault="00FF11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06A0"/>
    <w:multiLevelType w:val="hybridMultilevel"/>
    <w:tmpl w:val="94CC01F0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D483E"/>
    <w:multiLevelType w:val="hybridMultilevel"/>
    <w:tmpl w:val="5F1AC6F4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41B9E"/>
    <w:multiLevelType w:val="hybridMultilevel"/>
    <w:tmpl w:val="6C7C49B2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5A98"/>
    <w:rsid w:val="00076440"/>
    <w:rsid w:val="0016248A"/>
    <w:rsid w:val="001D0BB4"/>
    <w:rsid w:val="0035224B"/>
    <w:rsid w:val="00377DF6"/>
    <w:rsid w:val="00482611"/>
    <w:rsid w:val="00712ABF"/>
    <w:rsid w:val="008473EA"/>
    <w:rsid w:val="009A1A42"/>
    <w:rsid w:val="00AD5A98"/>
    <w:rsid w:val="00F04E25"/>
    <w:rsid w:val="00FE5244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98"/>
    <w:pPr>
      <w:ind w:left="720"/>
      <w:contextualSpacing/>
    </w:pPr>
  </w:style>
  <w:style w:type="table" w:styleId="Tabela-Siatka">
    <w:name w:val="Table Grid"/>
    <w:basedOn w:val="Standardowy"/>
    <w:uiPriority w:val="59"/>
    <w:rsid w:val="00AD5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link w:val="normalZnak"/>
    <w:uiPriority w:val="99"/>
    <w:rsid w:val="00AD5A98"/>
    <w:pPr>
      <w:spacing w:after="0" w:line="288" w:lineRule="auto"/>
      <w:jc w:val="both"/>
    </w:pPr>
    <w:rPr>
      <w:rFonts w:ascii="Garamond" w:hAnsi="Garamond" w:cs="Garamond"/>
      <w:sz w:val="20"/>
      <w:szCs w:val="20"/>
      <w:lang w:eastAsia="pl-PL"/>
    </w:rPr>
  </w:style>
  <w:style w:type="paragraph" w:customStyle="1" w:styleId="tyt3">
    <w:name w:val="tyt 3"/>
    <w:basedOn w:val="Normalny"/>
    <w:link w:val="tyt3Znak"/>
    <w:uiPriority w:val="99"/>
    <w:rsid w:val="00AD5A98"/>
    <w:pPr>
      <w:spacing w:before="480" w:after="360" w:line="288" w:lineRule="auto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normalZnak">
    <w:name w:val="normal Znak"/>
    <w:link w:val="Normalny1"/>
    <w:uiPriority w:val="99"/>
    <w:locked/>
    <w:rsid w:val="00AD5A98"/>
    <w:rPr>
      <w:rFonts w:ascii="Garamond" w:eastAsia="Calibri" w:hAnsi="Garamond" w:cs="Garamond"/>
      <w:sz w:val="20"/>
      <w:szCs w:val="20"/>
      <w:lang w:eastAsia="pl-PL"/>
    </w:rPr>
  </w:style>
  <w:style w:type="character" w:customStyle="1" w:styleId="tyt3Znak">
    <w:name w:val="tyt 3 Znak"/>
    <w:link w:val="tyt3"/>
    <w:uiPriority w:val="99"/>
    <w:locked/>
    <w:rsid w:val="00AD5A9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rmalbiblio">
    <w:name w:val="normal biblio"/>
    <w:basedOn w:val="Normalny1"/>
    <w:uiPriority w:val="99"/>
    <w:rsid w:val="00AD5A98"/>
    <w:pPr>
      <w:spacing w:before="120"/>
    </w:pPr>
  </w:style>
  <w:style w:type="character" w:customStyle="1" w:styleId="normalKursywa">
    <w:name w:val="normal + Kursywa"/>
    <w:uiPriority w:val="99"/>
    <w:rsid w:val="00AD5A9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F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1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98"/>
    <w:pPr>
      <w:ind w:left="720"/>
      <w:contextualSpacing/>
    </w:pPr>
  </w:style>
  <w:style w:type="table" w:styleId="Tabela-Siatka">
    <w:name w:val="Table Grid"/>
    <w:basedOn w:val="Standardowy"/>
    <w:uiPriority w:val="59"/>
    <w:rsid w:val="00AD5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link w:val="normalZnak"/>
    <w:uiPriority w:val="99"/>
    <w:rsid w:val="00AD5A98"/>
    <w:pPr>
      <w:spacing w:after="0" w:line="288" w:lineRule="auto"/>
      <w:jc w:val="both"/>
    </w:pPr>
    <w:rPr>
      <w:rFonts w:ascii="Garamond" w:hAnsi="Garamond" w:cs="Garamond"/>
      <w:sz w:val="20"/>
      <w:szCs w:val="20"/>
      <w:lang w:eastAsia="pl-PL"/>
    </w:rPr>
  </w:style>
  <w:style w:type="paragraph" w:customStyle="1" w:styleId="tyt3">
    <w:name w:val="tyt 3"/>
    <w:basedOn w:val="Normalny"/>
    <w:link w:val="tyt3Znak"/>
    <w:uiPriority w:val="99"/>
    <w:rsid w:val="00AD5A98"/>
    <w:pPr>
      <w:spacing w:before="480" w:after="360" w:line="288" w:lineRule="auto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normalZnak">
    <w:name w:val="normal Znak"/>
    <w:link w:val="Normalny1"/>
    <w:uiPriority w:val="99"/>
    <w:locked/>
    <w:rsid w:val="00AD5A98"/>
    <w:rPr>
      <w:rFonts w:ascii="Garamond" w:eastAsia="Calibri" w:hAnsi="Garamond" w:cs="Garamond"/>
      <w:sz w:val="20"/>
      <w:szCs w:val="20"/>
      <w:lang w:eastAsia="pl-PL"/>
    </w:rPr>
  </w:style>
  <w:style w:type="character" w:customStyle="1" w:styleId="tyt3Znak">
    <w:name w:val="tyt 3 Znak"/>
    <w:link w:val="tyt3"/>
    <w:uiPriority w:val="99"/>
    <w:locked/>
    <w:rsid w:val="00AD5A9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rmalbiblio">
    <w:name w:val="normal biblio"/>
    <w:basedOn w:val="Normalny1"/>
    <w:uiPriority w:val="99"/>
    <w:rsid w:val="00AD5A98"/>
    <w:pPr>
      <w:spacing w:before="120"/>
    </w:pPr>
  </w:style>
  <w:style w:type="character" w:customStyle="1" w:styleId="normalKursywa">
    <w:name w:val="normal + Kursywa"/>
    <w:uiPriority w:val="99"/>
    <w:rsid w:val="00AD5A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j.pawlowski</cp:lastModifiedBy>
  <cp:revision>2</cp:revision>
  <cp:lastPrinted>2015-07-23T10:55:00Z</cp:lastPrinted>
  <dcterms:created xsi:type="dcterms:W3CDTF">2015-07-29T07:46:00Z</dcterms:created>
  <dcterms:modified xsi:type="dcterms:W3CDTF">2015-07-29T07:46:00Z</dcterms:modified>
</cp:coreProperties>
</file>